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FDC2B" w14:textId="0D41A848" w:rsidR="00B141FB" w:rsidRPr="00EF291C" w:rsidRDefault="00C01AD6" w:rsidP="00C01AD6">
      <w:pPr>
        <w:jc w:val="center"/>
        <w:rPr>
          <w:rFonts w:ascii="Century" w:hAnsi="Century"/>
          <w:sz w:val="28"/>
          <w:szCs w:val="28"/>
        </w:rPr>
      </w:pPr>
      <w:r w:rsidRPr="00EF291C">
        <w:rPr>
          <w:rFonts w:ascii="Century" w:hAnsi="Century"/>
          <w:sz w:val="28"/>
          <w:szCs w:val="28"/>
        </w:rPr>
        <w:t>IN THE UNITED STATES DISTRICT COURT</w:t>
      </w:r>
    </w:p>
    <w:p w14:paraId="2AE19B10" w14:textId="50210212" w:rsidR="00C01AD6" w:rsidRPr="00EF291C" w:rsidRDefault="00C01AD6" w:rsidP="00C01AD6">
      <w:pPr>
        <w:jc w:val="center"/>
        <w:rPr>
          <w:rFonts w:ascii="Century" w:hAnsi="Century"/>
          <w:sz w:val="28"/>
          <w:szCs w:val="28"/>
        </w:rPr>
      </w:pPr>
      <w:r w:rsidRPr="00EF291C">
        <w:rPr>
          <w:rFonts w:ascii="Century" w:hAnsi="Century"/>
          <w:sz w:val="28"/>
          <w:szCs w:val="28"/>
        </w:rPr>
        <w:t>SOUTHERN DISTRICT OF MISSISSIPPI</w:t>
      </w:r>
    </w:p>
    <w:p w14:paraId="1D59477F" w14:textId="542F7A0F" w:rsidR="00C01AD6" w:rsidRPr="00EF291C" w:rsidRDefault="00C01AD6" w:rsidP="00C01AD6">
      <w:pPr>
        <w:jc w:val="center"/>
        <w:rPr>
          <w:rFonts w:ascii="Century" w:hAnsi="Century"/>
          <w:sz w:val="28"/>
          <w:szCs w:val="28"/>
        </w:rPr>
      </w:pPr>
      <w:r w:rsidRPr="00EF291C">
        <w:rPr>
          <w:rFonts w:ascii="Century" w:hAnsi="Century"/>
          <w:sz w:val="28"/>
          <w:szCs w:val="28"/>
        </w:rPr>
        <w:t>EASTERN DIVISION</w:t>
      </w:r>
    </w:p>
    <w:p w14:paraId="3C6A746E" w14:textId="3924A16B" w:rsidR="00C01AD6" w:rsidRPr="00EF291C" w:rsidRDefault="00C01AD6" w:rsidP="00C01AD6">
      <w:pPr>
        <w:rPr>
          <w:rFonts w:ascii="Century" w:hAnsi="Century"/>
          <w:sz w:val="28"/>
          <w:szCs w:val="28"/>
        </w:rPr>
      </w:pPr>
    </w:p>
    <w:p w14:paraId="4D516A46" w14:textId="4766E88E" w:rsidR="00C01AD6" w:rsidRPr="00EF291C" w:rsidRDefault="00C01AD6" w:rsidP="00C01AD6">
      <w:pPr>
        <w:rPr>
          <w:rFonts w:ascii="Century" w:hAnsi="Century"/>
          <w:sz w:val="28"/>
          <w:szCs w:val="28"/>
        </w:rPr>
      </w:pPr>
    </w:p>
    <w:p w14:paraId="51F4635B" w14:textId="5777B0B4" w:rsidR="00C01AD6" w:rsidRPr="00EF291C" w:rsidRDefault="00C01AD6" w:rsidP="00C01AD6">
      <w:pPr>
        <w:rPr>
          <w:rFonts w:ascii="Century" w:hAnsi="Century"/>
          <w:sz w:val="28"/>
          <w:szCs w:val="28"/>
        </w:rPr>
      </w:pPr>
      <w:r w:rsidRPr="00EF291C">
        <w:rPr>
          <w:rFonts w:ascii="Century" w:hAnsi="Century"/>
          <w:sz w:val="28"/>
          <w:szCs w:val="28"/>
        </w:rPr>
        <w:t>UNITED STATES OF AMERICA,</w:t>
      </w:r>
      <w:r w:rsidRPr="00EF291C">
        <w:rPr>
          <w:rFonts w:ascii="Century" w:hAnsi="Century"/>
          <w:sz w:val="28"/>
          <w:szCs w:val="28"/>
        </w:rPr>
        <w:tab/>
        <w:t>)</w:t>
      </w:r>
    </w:p>
    <w:p w14:paraId="25C2C568" w14:textId="54573157"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w:t>
      </w:r>
    </w:p>
    <w:p w14:paraId="300CA8F4" w14:textId="21D7BA45"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iCs/>
          <w:sz w:val="28"/>
          <w:szCs w:val="28"/>
        </w:rPr>
        <w:t>Plaintiff,</w:t>
      </w:r>
      <w:r w:rsidRPr="00EF291C">
        <w:rPr>
          <w:rFonts w:ascii="Century" w:hAnsi="Century"/>
          <w:iCs/>
          <w:sz w:val="28"/>
          <w:szCs w:val="28"/>
        </w:rPr>
        <w:tab/>
      </w:r>
      <w:r w:rsidRPr="00EF291C">
        <w:rPr>
          <w:rFonts w:ascii="Century" w:hAnsi="Century"/>
          <w:iCs/>
          <w:sz w:val="28"/>
          <w:szCs w:val="28"/>
        </w:rPr>
        <w:tab/>
      </w:r>
      <w:r w:rsidRPr="00EF291C">
        <w:rPr>
          <w:rFonts w:ascii="Century" w:hAnsi="Century"/>
          <w:iCs/>
          <w:sz w:val="28"/>
          <w:szCs w:val="28"/>
        </w:rPr>
        <w:tab/>
      </w:r>
      <w:r w:rsidRPr="00EF291C">
        <w:rPr>
          <w:rFonts w:ascii="Century" w:hAnsi="Century"/>
          <w:sz w:val="28"/>
          <w:szCs w:val="28"/>
        </w:rPr>
        <w:tab/>
        <w:t>)</w:t>
      </w:r>
    </w:p>
    <w:p w14:paraId="6C11BABC" w14:textId="129A50DF"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w:t>
      </w:r>
    </w:p>
    <w:p w14:paraId="451D2B57" w14:textId="57DE48C4"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t>v.</w:t>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 xml:space="preserve">)  Case No. </w:t>
      </w:r>
      <w:proofErr w:type="spellStart"/>
      <w:r w:rsidR="008779E8">
        <w:rPr>
          <w:rFonts w:ascii="Century" w:hAnsi="Century"/>
          <w:sz w:val="28"/>
          <w:szCs w:val="28"/>
        </w:rPr>
        <w:t>xxxxxxx</w:t>
      </w:r>
      <w:proofErr w:type="spellEnd"/>
    </w:p>
    <w:p w14:paraId="7B0148AB" w14:textId="5351F61C"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w:t>
      </w:r>
    </w:p>
    <w:p w14:paraId="0A5B704F" w14:textId="18047232" w:rsidR="00C01AD6" w:rsidRPr="00EF291C" w:rsidRDefault="008779E8" w:rsidP="00C01AD6">
      <w:pPr>
        <w:rPr>
          <w:rFonts w:ascii="Century" w:hAnsi="Century"/>
          <w:sz w:val="28"/>
          <w:szCs w:val="28"/>
        </w:rPr>
      </w:pPr>
      <w:proofErr w:type="spellStart"/>
      <w:r>
        <w:rPr>
          <w:rFonts w:ascii="Century" w:hAnsi="Century"/>
          <w:sz w:val="28"/>
          <w:szCs w:val="28"/>
        </w:rPr>
        <w:t>xxxxxxx</w:t>
      </w:r>
      <w:proofErr w:type="spellEnd"/>
      <w:r w:rsidR="00C01AD6" w:rsidRPr="00EF291C">
        <w:rPr>
          <w:rFonts w:ascii="Century" w:hAnsi="Century"/>
          <w:sz w:val="28"/>
          <w:szCs w:val="28"/>
        </w:rPr>
        <w:t>,</w:t>
      </w:r>
      <w:r w:rsidR="00C01AD6" w:rsidRPr="00EF291C">
        <w:rPr>
          <w:rFonts w:ascii="Century" w:hAnsi="Century"/>
          <w:sz w:val="28"/>
          <w:szCs w:val="28"/>
        </w:rPr>
        <w:tab/>
      </w:r>
      <w:r w:rsidR="00C01AD6" w:rsidRPr="00EF291C">
        <w:rPr>
          <w:rFonts w:ascii="Century" w:hAnsi="Century"/>
          <w:sz w:val="28"/>
          <w:szCs w:val="28"/>
        </w:rPr>
        <w:tab/>
      </w:r>
      <w:r w:rsidR="00C01AD6" w:rsidRPr="00EF291C">
        <w:rPr>
          <w:rFonts w:ascii="Century" w:hAnsi="Century"/>
          <w:sz w:val="28"/>
          <w:szCs w:val="28"/>
        </w:rPr>
        <w:tab/>
      </w:r>
      <w:r w:rsidR="00C01AD6" w:rsidRPr="00EF291C">
        <w:rPr>
          <w:rFonts w:ascii="Century" w:hAnsi="Century"/>
          <w:sz w:val="28"/>
          <w:szCs w:val="28"/>
        </w:rPr>
        <w:tab/>
      </w:r>
      <w:r w:rsidR="00C01AD6" w:rsidRPr="00EF291C">
        <w:rPr>
          <w:rFonts w:ascii="Century" w:hAnsi="Century"/>
          <w:sz w:val="28"/>
          <w:szCs w:val="28"/>
        </w:rPr>
        <w:tab/>
        <w:t>)</w:t>
      </w:r>
    </w:p>
    <w:p w14:paraId="0A1FE3BB" w14:textId="69EC7C5D"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w:t>
      </w:r>
    </w:p>
    <w:p w14:paraId="306BE9B5" w14:textId="1EF0D8D3"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iCs/>
          <w:sz w:val="28"/>
          <w:szCs w:val="28"/>
        </w:rPr>
        <w:t>Defendant.</w:t>
      </w:r>
      <w:r w:rsidRPr="00EF291C">
        <w:rPr>
          <w:rFonts w:ascii="Century" w:hAnsi="Century"/>
          <w:iCs/>
          <w:sz w:val="28"/>
          <w:szCs w:val="28"/>
        </w:rPr>
        <w:tab/>
      </w:r>
      <w:r w:rsidRPr="00EF291C">
        <w:rPr>
          <w:rFonts w:ascii="Century" w:hAnsi="Century"/>
          <w:iCs/>
          <w:sz w:val="28"/>
          <w:szCs w:val="28"/>
        </w:rPr>
        <w:tab/>
      </w:r>
      <w:r w:rsidRPr="00EF291C">
        <w:rPr>
          <w:rFonts w:ascii="Century" w:hAnsi="Century"/>
          <w:iCs/>
          <w:sz w:val="28"/>
          <w:szCs w:val="28"/>
        </w:rPr>
        <w:tab/>
      </w:r>
      <w:r w:rsidRPr="00EF291C">
        <w:rPr>
          <w:rFonts w:ascii="Century" w:hAnsi="Century"/>
          <w:iCs/>
          <w:sz w:val="28"/>
          <w:szCs w:val="28"/>
        </w:rPr>
        <w:tab/>
      </w:r>
      <w:r w:rsidRPr="00EF291C">
        <w:rPr>
          <w:rFonts w:ascii="Century" w:hAnsi="Century"/>
          <w:sz w:val="28"/>
          <w:szCs w:val="28"/>
        </w:rPr>
        <w:t>)</w:t>
      </w:r>
    </w:p>
    <w:p w14:paraId="18BAE3FB" w14:textId="54C8D90B" w:rsidR="00C01AD6" w:rsidRPr="00EF291C" w:rsidRDefault="00C01AD6" w:rsidP="00C01AD6">
      <w:pPr>
        <w:rPr>
          <w:rFonts w:ascii="Century" w:hAnsi="Century"/>
          <w:sz w:val="28"/>
          <w:szCs w:val="28"/>
        </w:rPr>
      </w:pPr>
    </w:p>
    <w:p w14:paraId="383B5210" w14:textId="5FB4F2B7" w:rsidR="00C01AD6" w:rsidRDefault="00406092" w:rsidP="00C01AD6">
      <w:pPr>
        <w:jc w:val="center"/>
        <w:rPr>
          <w:rFonts w:ascii="Century" w:hAnsi="Century"/>
          <w:bCs/>
          <w:sz w:val="28"/>
          <w:szCs w:val="28"/>
          <w:u w:val="single"/>
        </w:rPr>
      </w:pPr>
      <w:r>
        <w:rPr>
          <w:rFonts w:ascii="Century" w:hAnsi="Century"/>
          <w:bCs/>
          <w:sz w:val="28"/>
          <w:szCs w:val="28"/>
          <w:u w:val="single"/>
        </w:rPr>
        <w:t>SUPPLEMENTAL AUTHORITY IN SUPPORT OF</w:t>
      </w:r>
    </w:p>
    <w:p w14:paraId="3C6ACDC8" w14:textId="42D589CD" w:rsidR="00E4366A" w:rsidRDefault="00E4366A" w:rsidP="00C01AD6">
      <w:pPr>
        <w:jc w:val="center"/>
        <w:rPr>
          <w:rFonts w:ascii="Century" w:hAnsi="Century"/>
          <w:bCs/>
          <w:sz w:val="28"/>
          <w:szCs w:val="28"/>
          <w:u w:val="single"/>
        </w:rPr>
      </w:pPr>
      <w:r>
        <w:rPr>
          <w:rFonts w:ascii="Century" w:hAnsi="Century"/>
          <w:bCs/>
          <w:sz w:val="28"/>
          <w:szCs w:val="28"/>
          <w:u w:val="single"/>
        </w:rPr>
        <w:t xml:space="preserve">MOTION FOR COMPASSIONATE </w:t>
      </w:r>
      <w:r w:rsidR="00406092">
        <w:rPr>
          <w:rFonts w:ascii="Century" w:hAnsi="Century"/>
          <w:bCs/>
          <w:sz w:val="28"/>
          <w:szCs w:val="28"/>
          <w:u w:val="single"/>
        </w:rPr>
        <w:t>CONFINEMENT</w:t>
      </w:r>
    </w:p>
    <w:p w14:paraId="3302EA85" w14:textId="30F47FF5" w:rsidR="00E4366A" w:rsidRDefault="00E4366A" w:rsidP="00C01AD6">
      <w:pPr>
        <w:jc w:val="center"/>
        <w:rPr>
          <w:rFonts w:ascii="Century" w:hAnsi="Century"/>
          <w:bCs/>
          <w:sz w:val="28"/>
          <w:szCs w:val="28"/>
          <w:u w:val="single"/>
        </w:rPr>
      </w:pPr>
      <w:r>
        <w:rPr>
          <w:rFonts w:ascii="Century" w:hAnsi="Century"/>
          <w:bCs/>
          <w:sz w:val="28"/>
          <w:szCs w:val="28"/>
          <w:u w:val="single"/>
        </w:rPr>
        <w:t xml:space="preserve">OF </w:t>
      </w:r>
      <w:proofErr w:type="spellStart"/>
      <w:r w:rsidR="008779E8">
        <w:rPr>
          <w:rFonts w:ascii="Century" w:hAnsi="Century"/>
          <w:bCs/>
          <w:sz w:val="28"/>
          <w:szCs w:val="28"/>
          <w:u w:val="single"/>
        </w:rPr>
        <w:t>zxzxxxxxx</w:t>
      </w:r>
      <w:proofErr w:type="spellEnd"/>
      <w:r>
        <w:rPr>
          <w:rFonts w:ascii="Century" w:hAnsi="Century"/>
          <w:bCs/>
          <w:sz w:val="28"/>
          <w:szCs w:val="28"/>
          <w:u w:val="single"/>
        </w:rPr>
        <w:t xml:space="preserve"> </w:t>
      </w:r>
      <w:r w:rsidR="00406092">
        <w:rPr>
          <w:rFonts w:ascii="Century" w:hAnsi="Century"/>
          <w:bCs/>
          <w:sz w:val="28"/>
          <w:szCs w:val="28"/>
          <w:u w:val="single"/>
        </w:rPr>
        <w:t>AT</w:t>
      </w:r>
      <w:r>
        <w:rPr>
          <w:rFonts w:ascii="Century" w:hAnsi="Century"/>
          <w:bCs/>
          <w:sz w:val="28"/>
          <w:szCs w:val="28"/>
          <w:u w:val="single"/>
        </w:rPr>
        <w:t xml:space="preserve"> HOME </w:t>
      </w:r>
    </w:p>
    <w:p w14:paraId="6DED700D" w14:textId="2C51BACA" w:rsidR="00E4366A" w:rsidRPr="00EF291C" w:rsidRDefault="00E4366A" w:rsidP="00C01AD6">
      <w:pPr>
        <w:jc w:val="center"/>
        <w:rPr>
          <w:rFonts w:ascii="Century" w:hAnsi="Century"/>
          <w:bCs/>
          <w:sz w:val="28"/>
          <w:szCs w:val="28"/>
          <w:u w:val="single"/>
        </w:rPr>
      </w:pPr>
      <w:r>
        <w:rPr>
          <w:rFonts w:ascii="Century" w:hAnsi="Century"/>
          <w:bCs/>
          <w:sz w:val="28"/>
          <w:szCs w:val="28"/>
          <w:u w:val="single"/>
        </w:rPr>
        <w:t xml:space="preserve">OR </w:t>
      </w:r>
      <w:r w:rsidR="00406092">
        <w:rPr>
          <w:rFonts w:ascii="Century" w:hAnsi="Century"/>
          <w:bCs/>
          <w:sz w:val="28"/>
          <w:szCs w:val="28"/>
          <w:u w:val="single"/>
        </w:rPr>
        <w:t xml:space="preserve">RELEASE TO </w:t>
      </w:r>
      <w:r>
        <w:rPr>
          <w:rFonts w:ascii="Century" w:hAnsi="Century"/>
          <w:bCs/>
          <w:sz w:val="28"/>
          <w:szCs w:val="28"/>
          <w:u w:val="single"/>
        </w:rPr>
        <w:t>TIME SERVED</w:t>
      </w:r>
    </w:p>
    <w:p w14:paraId="0D224677" w14:textId="76F60098" w:rsidR="00C01AD6" w:rsidRPr="00EF291C" w:rsidRDefault="00C01AD6" w:rsidP="00C01AD6">
      <w:pPr>
        <w:jc w:val="center"/>
        <w:rPr>
          <w:rFonts w:ascii="Century" w:hAnsi="Century"/>
          <w:bCs/>
          <w:sz w:val="28"/>
          <w:szCs w:val="28"/>
          <w:u w:val="single"/>
        </w:rPr>
      </w:pPr>
    </w:p>
    <w:p w14:paraId="17E69EAD" w14:textId="5E4FB680" w:rsidR="00C01AD6" w:rsidRPr="00EF291C" w:rsidRDefault="00C01AD6" w:rsidP="00C01AD6">
      <w:pPr>
        <w:rPr>
          <w:rFonts w:ascii="Century" w:hAnsi="Century"/>
          <w:bCs/>
          <w:sz w:val="28"/>
          <w:szCs w:val="28"/>
        </w:rPr>
      </w:pPr>
      <w:r w:rsidRPr="00EF291C">
        <w:rPr>
          <w:rFonts w:ascii="Century" w:hAnsi="Century"/>
          <w:bCs/>
          <w:sz w:val="28"/>
          <w:szCs w:val="28"/>
        </w:rPr>
        <w:t>TO THE HONORABLE KEITH STARRETT, UNITED STATES DISTRICT JUDGE FOR THE SOUTHERN DISTRICT OF MISSISSIPPI, EASTERN DIVISION:</w:t>
      </w:r>
    </w:p>
    <w:p w14:paraId="33193FAA" w14:textId="6AAC3D90" w:rsidR="00C01AD6" w:rsidRPr="00EF291C" w:rsidRDefault="00C01AD6" w:rsidP="00C01AD6">
      <w:pPr>
        <w:rPr>
          <w:rFonts w:ascii="Century" w:hAnsi="Century"/>
          <w:bCs/>
          <w:sz w:val="28"/>
          <w:szCs w:val="28"/>
        </w:rPr>
      </w:pPr>
    </w:p>
    <w:p w14:paraId="7D977447" w14:textId="728E4312" w:rsidR="00406092" w:rsidRDefault="00E4366A" w:rsidP="00E4366A">
      <w:pPr>
        <w:spacing w:line="480" w:lineRule="auto"/>
        <w:ind w:firstLine="720"/>
        <w:jc w:val="both"/>
        <w:rPr>
          <w:rFonts w:ascii="Century" w:hAnsi="Century"/>
          <w:sz w:val="28"/>
          <w:szCs w:val="28"/>
        </w:rPr>
      </w:pPr>
      <w:r>
        <w:rPr>
          <w:rFonts w:ascii="Century" w:hAnsi="Century"/>
          <w:sz w:val="28"/>
          <w:szCs w:val="28"/>
        </w:rPr>
        <w:t xml:space="preserve">The </w:t>
      </w:r>
      <w:r w:rsidR="00406092">
        <w:rPr>
          <w:rFonts w:ascii="Century" w:hAnsi="Century"/>
          <w:sz w:val="28"/>
          <w:szCs w:val="28"/>
        </w:rPr>
        <w:t>Attorney General of the United States has released an additional memo calling for hasten release of vulnerable inmates from federal prisons.  In an April 3, 2020 memorandum to the Director of the Bureau of Prisons, declaring emergency conditions exist in the Bureau of Prisons, Attorney General Barr said:</w:t>
      </w:r>
    </w:p>
    <w:p w14:paraId="5A470C42" w14:textId="440E87A7" w:rsidR="00406092" w:rsidRDefault="00406092" w:rsidP="005F1872">
      <w:pPr>
        <w:ind w:left="720" w:firstLine="720"/>
        <w:jc w:val="both"/>
        <w:rPr>
          <w:rFonts w:ascii="Century" w:hAnsi="Century"/>
          <w:sz w:val="28"/>
          <w:szCs w:val="28"/>
        </w:rPr>
      </w:pPr>
      <w:r>
        <w:rPr>
          <w:rFonts w:ascii="Century" w:hAnsi="Century"/>
          <w:sz w:val="28"/>
          <w:szCs w:val="28"/>
        </w:rPr>
        <w:t>“We have to move with dispatch in using home confin</w:t>
      </w:r>
      <w:r w:rsidR="005F1872">
        <w:rPr>
          <w:rFonts w:ascii="Century" w:hAnsi="Century"/>
          <w:sz w:val="28"/>
          <w:szCs w:val="28"/>
        </w:rPr>
        <w:t>e</w:t>
      </w:r>
      <w:r>
        <w:rPr>
          <w:rFonts w:ascii="Century" w:hAnsi="Century"/>
          <w:sz w:val="28"/>
          <w:szCs w:val="28"/>
        </w:rPr>
        <w:t>ment, where appropriate, to move vulnerable inmates out of these institutions.  …[Y]</w:t>
      </w:r>
      <w:proofErr w:type="spellStart"/>
      <w:r>
        <w:rPr>
          <w:rFonts w:ascii="Century" w:hAnsi="Century"/>
          <w:sz w:val="28"/>
          <w:szCs w:val="28"/>
        </w:rPr>
        <w:t>ou</w:t>
      </w:r>
      <w:proofErr w:type="spellEnd"/>
      <w:r>
        <w:rPr>
          <w:rFonts w:ascii="Century" w:hAnsi="Century"/>
          <w:sz w:val="28"/>
          <w:szCs w:val="28"/>
        </w:rPr>
        <w:t xml:space="preserve"> should include [the review for release </w:t>
      </w:r>
      <w:proofErr w:type="gramStart"/>
      <w:r>
        <w:rPr>
          <w:rFonts w:ascii="Century" w:hAnsi="Century"/>
          <w:sz w:val="28"/>
          <w:szCs w:val="28"/>
        </w:rPr>
        <w:t>of ]all</w:t>
      </w:r>
      <w:proofErr w:type="gramEnd"/>
      <w:r>
        <w:rPr>
          <w:rFonts w:ascii="Century" w:hAnsi="Century"/>
          <w:sz w:val="28"/>
          <w:szCs w:val="28"/>
        </w:rPr>
        <w:t xml:space="preserve"> at-risk inmates—not only those who were previously eligible for </w:t>
      </w:r>
      <w:r>
        <w:rPr>
          <w:rFonts w:ascii="Century" w:hAnsi="Century"/>
          <w:sz w:val="28"/>
          <w:szCs w:val="28"/>
        </w:rPr>
        <w:lastRenderedPageBreak/>
        <w:t>transfer.  For all inmates whom you deem suitable candi</w:t>
      </w:r>
      <w:r w:rsidR="005F1872">
        <w:rPr>
          <w:rFonts w:ascii="Century" w:hAnsi="Century"/>
          <w:sz w:val="28"/>
          <w:szCs w:val="28"/>
        </w:rPr>
        <w:t>d</w:t>
      </w:r>
      <w:r>
        <w:rPr>
          <w:rFonts w:ascii="Century" w:hAnsi="Century"/>
          <w:sz w:val="28"/>
          <w:szCs w:val="28"/>
        </w:rPr>
        <w:t>ates for home confinement, you are directed to immediately process them for transfer and then immediately transfer them following a 14-day quarantine at an appropriate BOP facility, or, in appropriate cases subject to your case-by-case discretion, in the residence to wh</w:t>
      </w:r>
      <w:r w:rsidR="005F1872">
        <w:rPr>
          <w:rFonts w:ascii="Century" w:hAnsi="Century"/>
          <w:sz w:val="28"/>
          <w:szCs w:val="28"/>
        </w:rPr>
        <w:t>i</w:t>
      </w:r>
      <w:r>
        <w:rPr>
          <w:rFonts w:ascii="Century" w:hAnsi="Century"/>
          <w:sz w:val="28"/>
          <w:szCs w:val="28"/>
        </w:rPr>
        <w:t>ch the inmate is being transferred.</w:t>
      </w:r>
      <w:r w:rsidR="005F1872">
        <w:rPr>
          <w:rFonts w:ascii="Century" w:hAnsi="Century"/>
          <w:sz w:val="28"/>
          <w:szCs w:val="28"/>
        </w:rPr>
        <w:t xml:space="preserve">   …I also recognize that BOP has limited resources to monitor inmates on home confinement and that the U.S. Probation Office is unable to monitor large numbers of inmates in the community.  I therefore authorize BOP to transfer inmates to home confinement even if electronic monitoring is not available, so long as BOP determines in every such instance that doing so is appropriate and consistent with our obligation to protect public safety.  Given the speed with which this disease has spread through the general public, it is clear that time is of the essences.  Please implement this Memorandum as quickly as possible and keep me closely apprised of your progress. </w:t>
      </w:r>
      <w:r>
        <w:rPr>
          <w:rFonts w:ascii="Century" w:hAnsi="Century"/>
          <w:sz w:val="28"/>
          <w:szCs w:val="28"/>
        </w:rPr>
        <w:t xml:space="preserve">” See April 3, 2020 Memorandum attached as </w:t>
      </w:r>
      <w:bookmarkStart w:id="0" w:name="_GoBack"/>
      <w:r>
        <w:rPr>
          <w:rFonts w:ascii="Century" w:hAnsi="Century"/>
          <w:sz w:val="28"/>
          <w:szCs w:val="28"/>
        </w:rPr>
        <w:t>Exhibit 1.</w:t>
      </w:r>
    </w:p>
    <w:p w14:paraId="7C76E8A8" w14:textId="77777777" w:rsidR="005F1872" w:rsidRDefault="005F1872" w:rsidP="005F1872">
      <w:pPr>
        <w:ind w:left="720" w:firstLine="720"/>
        <w:jc w:val="both"/>
        <w:rPr>
          <w:rFonts w:ascii="Century" w:hAnsi="Century"/>
          <w:sz w:val="28"/>
          <w:szCs w:val="28"/>
        </w:rPr>
      </w:pPr>
    </w:p>
    <w:p w14:paraId="4B56DF53" w14:textId="3EFC1B74" w:rsidR="00BB1851" w:rsidRDefault="00406092" w:rsidP="00E4366A">
      <w:pPr>
        <w:spacing w:line="480" w:lineRule="auto"/>
        <w:ind w:firstLine="720"/>
        <w:jc w:val="both"/>
        <w:rPr>
          <w:rFonts w:ascii="Century" w:hAnsi="Century"/>
          <w:sz w:val="28"/>
          <w:szCs w:val="28"/>
        </w:rPr>
      </w:pPr>
      <w:r>
        <w:rPr>
          <w:rFonts w:ascii="Century" w:hAnsi="Century"/>
          <w:sz w:val="28"/>
          <w:szCs w:val="28"/>
        </w:rPr>
        <w:t xml:space="preserve">  </w:t>
      </w:r>
      <w:r w:rsidR="005F1872">
        <w:rPr>
          <w:rFonts w:ascii="Century" w:hAnsi="Century"/>
          <w:sz w:val="28"/>
          <w:szCs w:val="28"/>
        </w:rPr>
        <w:t xml:space="preserve"> That </w:t>
      </w:r>
      <w:proofErr w:type="spellStart"/>
      <w:r w:rsidR="008779E8">
        <w:rPr>
          <w:rFonts w:ascii="Century" w:hAnsi="Century"/>
          <w:sz w:val="28"/>
          <w:szCs w:val="28"/>
        </w:rPr>
        <w:t>xxxxx</w:t>
      </w:r>
      <w:proofErr w:type="spellEnd"/>
      <w:r w:rsidR="00E4366A">
        <w:rPr>
          <w:rFonts w:ascii="Century" w:hAnsi="Century"/>
          <w:sz w:val="28"/>
          <w:szCs w:val="28"/>
        </w:rPr>
        <w:t xml:space="preserve"> has not exhausted his administrative remed</w:t>
      </w:r>
      <w:r w:rsidR="005F1872">
        <w:rPr>
          <w:rFonts w:ascii="Century" w:hAnsi="Century"/>
          <w:sz w:val="28"/>
          <w:szCs w:val="28"/>
        </w:rPr>
        <w:t xml:space="preserve">ies is no longer relevant.  The Attorney General has relieved him of this requirement by stating in his memorandum that the has expanded the cohort of those who should be released to all at-risk inmates and declaring an emergency in the Bureau of Prisons.  In addition, </w:t>
      </w:r>
      <w:proofErr w:type="spellStart"/>
      <w:r w:rsidR="008779E8">
        <w:rPr>
          <w:rFonts w:ascii="Century" w:hAnsi="Century"/>
          <w:sz w:val="28"/>
          <w:szCs w:val="28"/>
        </w:rPr>
        <w:t>xxxxxxx</w:t>
      </w:r>
      <w:proofErr w:type="spellEnd"/>
      <w:r w:rsidR="005F1872">
        <w:rPr>
          <w:rFonts w:ascii="Century" w:hAnsi="Century"/>
          <w:sz w:val="28"/>
          <w:szCs w:val="28"/>
        </w:rPr>
        <w:t xml:space="preserve"> qualifies as a person who can be released directly to the home </w:t>
      </w:r>
      <w:r w:rsidR="008779E8">
        <w:rPr>
          <w:rFonts w:ascii="Century" w:hAnsi="Century"/>
          <w:sz w:val="28"/>
          <w:szCs w:val="28"/>
        </w:rPr>
        <w:t>xxxxxx</w:t>
      </w:r>
      <w:r w:rsidR="005F1872">
        <w:rPr>
          <w:rFonts w:ascii="Century" w:hAnsi="Century"/>
          <w:sz w:val="28"/>
          <w:szCs w:val="28"/>
        </w:rPr>
        <w:t xml:space="preserve"> has for him, where he can be cared for and quarantined.  </w:t>
      </w:r>
    </w:p>
    <w:bookmarkEnd w:id="0"/>
    <w:p w14:paraId="2B6996DB" w14:textId="2E4D06A6" w:rsidR="00081F17" w:rsidRPr="00EF291C" w:rsidRDefault="00081F17" w:rsidP="005E29D2">
      <w:pPr>
        <w:spacing w:line="480" w:lineRule="auto"/>
        <w:ind w:firstLine="720"/>
        <w:jc w:val="both"/>
        <w:rPr>
          <w:rFonts w:ascii="Century" w:eastAsia="Times New Roman" w:hAnsi="Century" w:cs="Times New Roman"/>
          <w:color w:val="000000" w:themeColor="text1"/>
          <w:sz w:val="28"/>
        </w:rPr>
      </w:pPr>
    </w:p>
    <w:p w14:paraId="0CCD097B" w14:textId="3F1ED1F3" w:rsidR="00081F17" w:rsidRPr="00EF291C" w:rsidRDefault="00C132A4" w:rsidP="00081F17">
      <w:pPr>
        <w:jc w:val="both"/>
        <w:rPr>
          <w:rFonts w:ascii="Century" w:eastAsia="Times New Roman" w:hAnsi="Century" w:cs="Times New Roman"/>
          <w:sz w:val="28"/>
        </w:rPr>
      </w:pPr>
      <w:r>
        <w:rPr>
          <w:rFonts w:ascii="Century" w:eastAsia="Times New Roman" w:hAnsi="Century" w:cs="Times New Roman"/>
          <w:sz w:val="28"/>
        </w:rPr>
        <w:tab/>
      </w:r>
      <w:r>
        <w:rPr>
          <w:rFonts w:ascii="Century" w:eastAsia="Times New Roman" w:hAnsi="Century" w:cs="Times New Roman"/>
          <w:sz w:val="28"/>
        </w:rPr>
        <w:tab/>
      </w:r>
      <w:r>
        <w:rPr>
          <w:rFonts w:ascii="Century" w:eastAsia="Times New Roman" w:hAnsi="Century" w:cs="Times New Roman"/>
          <w:sz w:val="28"/>
        </w:rPr>
        <w:tab/>
      </w:r>
      <w:r>
        <w:rPr>
          <w:rFonts w:ascii="Century" w:eastAsia="Times New Roman" w:hAnsi="Century" w:cs="Times New Roman"/>
          <w:sz w:val="28"/>
        </w:rPr>
        <w:tab/>
      </w:r>
      <w:r>
        <w:rPr>
          <w:rFonts w:ascii="Century" w:eastAsia="Times New Roman" w:hAnsi="Century" w:cs="Times New Roman"/>
          <w:sz w:val="28"/>
        </w:rPr>
        <w:tab/>
        <w:t>Respectfully submitted,</w:t>
      </w:r>
    </w:p>
    <w:p w14:paraId="6CC2B139" w14:textId="7BF93066" w:rsidR="00C01AD6" w:rsidRPr="00EF291C" w:rsidRDefault="00C01AD6" w:rsidP="00C01AD6">
      <w:pPr>
        <w:rPr>
          <w:rFonts w:ascii="Century" w:hAnsi="Century"/>
          <w:sz w:val="28"/>
          <w:szCs w:val="28"/>
        </w:rPr>
      </w:pPr>
      <w:r w:rsidRPr="00EF291C">
        <w:rPr>
          <w:rFonts w:ascii="Century" w:hAnsi="Century"/>
          <w:sz w:val="28"/>
          <w:szCs w:val="28"/>
        </w:rPr>
        <w:t xml:space="preserve"> </w:t>
      </w:r>
    </w:p>
    <w:sectPr w:rsidR="00C01AD6" w:rsidRPr="00EF291C" w:rsidSect="00437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A0AD7" w14:textId="77777777" w:rsidR="002B6BFA" w:rsidRDefault="002B6BFA" w:rsidP="00081F17">
      <w:r>
        <w:separator/>
      </w:r>
    </w:p>
  </w:endnote>
  <w:endnote w:type="continuationSeparator" w:id="0">
    <w:p w14:paraId="1E5B1559" w14:textId="77777777" w:rsidR="002B6BFA" w:rsidRDefault="002B6BFA" w:rsidP="0008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6769C" w14:textId="77777777" w:rsidR="002B6BFA" w:rsidRDefault="002B6BFA" w:rsidP="00081F17">
      <w:r>
        <w:separator/>
      </w:r>
    </w:p>
  </w:footnote>
  <w:footnote w:type="continuationSeparator" w:id="0">
    <w:p w14:paraId="36EBD633" w14:textId="77777777" w:rsidR="002B6BFA" w:rsidRDefault="002B6BFA" w:rsidP="00081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247C1"/>
    <w:multiLevelType w:val="hybridMultilevel"/>
    <w:tmpl w:val="EDB26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941FB"/>
    <w:multiLevelType w:val="hybridMultilevel"/>
    <w:tmpl w:val="4BC0759A"/>
    <w:lvl w:ilvl="0" w:tplc="A626A43E">
      <w:start w:val="1"/>
      <w:numFmt w:val="upperLetter"/>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D6"/>
    <w:rsid w:val="00074485"/>
    <w:rsid w:val="00081F17"/>
    <w:rsid w:val="00086469"/>
    <w:rsid w:val="000C4A06"/>
    <w:rsid w:val="001D7436"/>
    <w:rsid w:val="001E0726"/>
    <w:rsid w:val="00210E76"/>
    <w:rsid w:val="00282AC6"/>
    <w:rsid w:val="002B6BFA"/>
    <w:rsid w:val="002C4A91"/>
    <w:rsid w:val="00305BE8"/>
    <w:rsid w:val="00406092"/>
    <w:rsid w:val="00437255"/>
    <w:rsid w:val="005E29D2"/>
    <w:rsid w:val="005F1872"/>
    <w:rsid w:val="008779E8"/>
    <w:rsid w:val="008B556A"/>
    <w:rsid w:val="009049BB"/>
    <w:rsid w:val="00AE63AC"/>
    <w:rsid w:val="00B60A99"/>
    <w:rsid w:val="00B871C4"/>
    <w:rsid w:val="00BA4EEF"/>
    <w:rsid w:val="00BB1851"/>
    <w:rsid w:val="00C01AD6"/>
    <w:rsid w:val="00C132A4"/>
    <w:rsid w:val="00D275D6"/>
    <w:rsid w:val="00D74AEE"/>
    <w:rsid w:val="00E4366A"/>
    <w:rsid w:val="00EB31C8"/>
    <w:rsid w:val="00EF291C"/>
    <w:rsid w:val="00F33F5B"/>
    <w:rsid w:val="00F7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17"/>
    <w:pPr>
      <w:ind w:left="720"/>
      <w:contextualSpacing/>
    </w:pPr>
    <w:rPr>
      <w:rFonts w:eastAsiaTheme="minorEastAsia"/>
    </w:rPr>
  </w:style>
  <w:style w:type="character" w:styleId="Hyperlink">
    <w:name w:val="Hyperlink"/>
    <w:basedOn w:val="DefaultParagraphFont"/>
    <w:uiPriority w:val="99"/>
    <w:unhideWhenUsed/>
    <w:rsid w:val="00081F17"/>
    <w:rPr>
      <w:color w:val="0563C1" w:themeColor="hyperlink"/>
      <w:u w:val="single"/>
    </w:rPr>
  </w:style>
  <w:style w:type="paragraph" w:styleId="FootnoteText">
    <w:name w:val="footnote text"/>
    <w:basedOn w:val="Normal"/>
    <w:link w:val="FootnoteTextChar"/>
    <w:uiPriority w:val="99"/>
    <w:semiHidden/>
    <w:unhideWhenUsed/>
    <w:rsid w:val="00081F17"/>
    <w:rPr>
      <w:rFonts w:eastAsiaTheme="minorEastAsia"/>
      <w:sz w:val="20"/>
      <w:szCs w:val="20"/>
    </w:rPr>
  </w:style>
  <w:style w:type="character" w:customStyle="1" w:styleId="FootnoteTextChar">
    <w:name w:val="Footnote Text Char"/>
    <w:basedOn w:val="DefaultParagraphFont"/>
    <w:link w:val="FootnoteText"/>
    <w:uiPriority w:val="99"/>
    <w:semiHidden/>
    <w:rsid w:val="00081F17"/>
    <w:rPr>
      <w:rFonts w:eastAsiaTheme="minorEastAsia"/>
      <w:sz w:val="20"/>
      <w:szCs w:val="20"/>
    </w:rPr>
  </w:style>
  <w:style w:type="character" w:styleId="FootnoteReference">
    <w:name w:val="footnote reference"/>
    <w:basedOn w:val="DefaultParagraphFont"/>
    <w:uiPriority w:val="99"/>
    <w:semiHidden/>
    <w:unhideWhenUsed/>
    <w:rsid w:val="00081F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17"/>
    <w:pPr>
      <w:ind w:left="720"/>
      <w:contextualSpacing/>
    </w:pPr>
    <w:rPr>
      <w:rFonts w:eastAsiaTheme="minorEastAsia"/>
    </w:rPr>
  </w:style>
  <w:style w:type="character" w:styleId="Hyperlink">
    <w:name w:val="Hyperlink"/>
    <w:basedOn w:val="DefaultParagraphFont"/>
    <w:uiPriority w:val="99"/>
    <w:unhideWhenUsed/>
    <w:rsid w:val="00081F17"/>
    <w:rPr>
      <w:color w:val="0563C1" w:themeColor="hyperlink"/>
      <w:u w:val="single"/>
    </w:rPr>
  </w:style>
  <w:style w:type="paragraph" w:styleId="FootnoteText">
    <w:name w:val="footnote text"/>
    <w:basedOn w:val="Normal"/>
    <w:link w:val="FootnoteTextChar"/>
    <w:uiPriority w:val="99"/>
    <w:semiHidden/>
    <w:unhideWhenUsed/>
    <w:rsid w:val="00081F17"/>
    <w:rPr>
      <w:rFonts w:eastAsiaTheme="minorEastAsia"/>
      <w:sz w:val="20"/>
      <w:szCs w:val="20"/>
    </w:rPr>
  </w:style>
  <w:style w:type="character" w:customStyle="1" w:styleId="FootnoteTextChar">
    <w:name w:val="Footnote Text Char"/>
    <w:basedOn w:val="DefaultParagraphFont"/>
    <w:link w:val="FootnoteText"/>
    <w:uiPriority w:val="99"/>
    <w:semiHidden/>
    <w:rsid w:val="00081F17"/>
    <w:rPr>
      <w:rFonts w:eastAsiaTheme="minorEastAsia"/>
      <w:sz w:val="20"/>
      <w:szCs w:val="20"/>
    </w:rPr>
  </w:style>
  <w:style w:type="character" w:styleId="FootnoteReference">
    <w:name w:val="footnote reference"/>
    <w:basedOn w:val="DefaultParagraphFont"/>
    <w:uiPriority w:val="99"/>
    <w:semiHidden/>
    <w:unhideWhenUsed/>
    <w:rsid w:val="00081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0780">
      <w:bodyDiv w:val="1"/>
      <w:marLeft w:val="0"/>
      <w:marRight w:val="0"/>
      <w:marTop w:val="0"/>
      <w:marBottom w:val="0"/>
      <w:divBdr>
        <w:top w:val="none" w:sz="0" w:space="0" w:color="auto"/>
        <w:left w:val="none" w:sz="0" w:space="0" w:color="auto"/>
        <w:bottom w:val="none" w:sz="0" w:space="0" w:color="auto"/>
        <w:right w:val="none" w:sz="0" w:space="0" w:color="auto"/>
      </w:divBdr>
    </w:div>
    <w:div w:id="8705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Orr</dc:creator>
  <cp:lastModifiedBy>Ivan Dominguez</cp:lastModifiedBy>
  <cp:revision>2</cp:revision>
  <dcterms:created xsi:type="dcterms:W3CDTF">2020-04-08T17:08:00Z</dcterms:created>
  <dcterms:modified xsi:type="dcterms:W3CDTF">2020-04-08T17:08:00Z</dcterms:modified>
</cp:coreProperties>
</file>